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460A1" w14:textId="77777777" w:rsidR="003B76CF" w:rsidRPr="003B76CF" w:rsidRDefault="0078738C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7</w:t>
      </w:r>
    </w:p>
    <w:p w14:paraId="2EEBEB6A" w14:textId="77777777"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14:paraId="2BB2FCC7" w14:textId="77777777"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14:paraId="0C982BC6" w14:textId="77777777"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14:paraId="44D3F75D" w14:textId="77777777"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14:paraId="12C5799D" w14:textId="77777777"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14:paraId="3CD732CF" w14:textId="77777777"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14:paraId="26C50093" w14:textId="77777777"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14:paraId="6EB3C4EA" w14:textId="77777777"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14:paraId="01964A16" w14:textId="77777777"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14:paraId="7DA4D1E1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14:paraId="3714A52B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14:paraId="2E112E60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14:paraId="642CE4DA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14:paraId="29546014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14:paraId="24F6B3C9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Cláusula primeira - Ficam os Estados e o Distrito Federal autorizados a conceder isenção de ICMS </w:t>
      </w:r>
      <w:proofErr w:type="gramStart"/>
      <w:r w:rsidRPr="003B76CF">
        <w:rPr>
          <w:rFonts w:ascii="Arial" w:eastAsia="Arial Unicode MS" w:hAnsi="Arial" w:cs="Arial"/>
          <w:lang w:eastAsia="pt-BR"/>
        </w:rPr>
        <w:t>nas</w:t>
      </w:r>
      <w:proofErr w:type="gramEnd"/>
      <w:r w:rsidRPr="003B76CF">
        <w:rPr>
          <w:rFonts w:ascii="Arial" w:eastAsia="Arial Unicode MS" w:hAnsi="Arial" w:cs="Arial"/>
          <w:lang w:eastAsia="pt-BR"/>
        </w:rPr>
        <w:t xml:space="preserve"> operações ou prestações internas, relativas a aquisição de bens, mercadorias ou serviços por órgãos da Administração Pública Estadual Direta e suas Fundações e Autarquias.</w:t>
      </w:r>
    </w:p>
    <w:p w14:paraId="275BFBAA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14:paraId="0ED273D7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14:paraId="3AB2B2BB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14:paraId="747F8F8A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14:paraId="5CB298A4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14:paraId="4A96C0FE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14:paraId="14769BF4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14:paraId="2549A4A7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14:paraId="153E5950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14:paraId="13F4FFD9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14:paraId="3907DAA2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14:paraId="7D5B5888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14:paraId="346057E3" w14:textId="77777777"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14:paraId="6F186A51" w14:textId="77777777"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14:paraId="16B390E0" w14:textId="77777777"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14:paraId="01C9A723" w14:textId="77777777"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lastRenderedPageBreak/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925F4" w14:textId="77777777" w:rsidR="00B85375" w:rsidRDefault="00B85375" w:rsidP="004E7AFB">
      <w:pPr>
        <w:spacing w:after="0" w:line="240" w:lineRule="auto"/>
      </w:pPr>
      <w:r>
        <w:separator/>
      </w:r>
    </w:p>
  </w:endnote>
  <w:endnote w:type="continuationSeparator" w:id="0">
    <w:p w14:paraId="0356D68C" w14:textId="77777777" w:rsidR="00B85375" w:rsidRDefault="00B8537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B025F" w14:textId="77777777" w:rsidR="00812C69" w:rsidRDefault="00812C6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4C253" w14:textId="77777777" w:rsidR="00812C69" w:rsidRDefault="00812C6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20814" w14:textId="77777777" w:rsidR="00812C69" w:rsidRDefault="00812C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D5BF1" w14:textId="77777777" w:rsidR="00B85375" w:rsidRDefault="00B85375" w:rsidP="004E7AFB">
      <w:pPr>
        <w:spacing w:after="0" w:line="240" w:lineRule="auto"/>
      </w:pPr>
      <w:r>
        <w:separator/>
      </w:r>
    </w:p>
  </w:footnote>
  <w:footnote w:type="continuationSeparator" w:id="0">
    <w:p w14:paraId="25E50219" w14:textId="77777777" w:rsidR="00B85375" w:rsidRDefault="00B8537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BA9D9" w14:textId="77777777" w:rsidR="00812C69" w:rsidRDefault="00812C6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2CF2" w14:textId="41397132" w:rsidR="004E7AFB" w:rsidRDefault="00DF0AA3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3B85771" wp14:editId="61FF607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1DDEE6CD" w14:textId="6444CFF1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B49118E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0D332837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7E9A7F39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080FA53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484FD" w14:textId="77777777" w:rsidR="00812C69" w:rsidRDefault="00812C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463F10"/>
    <w:rsid w:val="004E7AFB"/>
    <w:rsid w:val="0069009E"/>
    <w:rsid w:val="0078738C"/>
    <w:rsid w:val="00812C69"/>
    <w:rsid w:val="008E077D"/>
    <w:rsid w:val="008E1D72"/>
    <w:rsid w:val="00B85375"/>
    <w:rsid w:val="00CC4EA7"/>
    <w:rsid w:val="00DF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71FA45"/>
  <w15:docId w15:val="{E7F78391-827D-43CC-9AB2-9197BF97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9828-6C86-4F2F-B146-625D70CD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2018-04-06T17:58:00Z</dcterms:created>
  <dcterms:modified xsi:type="dcterms:W3CDTF">2021-04-09T14:44:00Z</dcterms:modified>
</cp:coreProperties>
</file>